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D963" w14:textId="3245A3CA" w:rsidR="00951A80" w:rsidRPr="00F63BD6"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center"/>
        <w:rPr>
          <w:rFonts w:ascii="Times New Roman" w:hAnsi="Times New Roman" w:cs="Times New Roman"/>
          <w:b/>
          <w:bCs/>
          <w:lang w:val="x-none" w:eastAsia="x-none"/>
        </w:rPr>
      </w:pPr>
      <w:r w:rsidRPr="00F63BD6">
        <w:rPr>
          <w:rFonts w:ascii="Times New Roman" w:hAnsi="Times New Roman" w:cs="Times New Roman"/>
          <w:b/>
          <w:bCs/>
          <w:rtl/>
          <w:lang w:val="x-none" w:eastAsia="x-none"/>
        </w:rPr>
        <w:t>تعليمات</w:t>
      </w:r>
      <w:r w:rsidRPr="00F63BD6">
        <w:rPr>
          <w:rFonts w:ascii="Times New Roman" w:hAnsi="Times New Roman" w:cs="Times New Roman" w:hint="cs"/>
          <w:b/>
          <w:bCs/>
          <w:rtl/>
          <w:lang w:val="x-none" w:eastAsia="x-none"/>
        </w:rPr>
        <w:t xml:space="preserve"> قانونية</w:t>
      </w:r>
    </w:p>
    <w:p w14:paraId="5844AED7" w14:textId="77777777" w:rsidR="00951A80" w:rsidRPr="00970DFD"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both"/>
        <w:rPr>
          <w:rFonts w:ascii="Times New Roman" w:hAnsi="Times New Roman" w:cs="Times New Roman"/>
          <w:lang w:val="x-none" w:eastAsia="x-none"/>
        </w:rPr>
      </w:pPr>
    </w:p>
    <w:p w14:paraId="5DF4477E" w14:textId="77777777" w:rsidR="00951A80" w:rsidRPr="00F63BD6"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both"/>
        <w:rPr>
          <w:rFonts w:ascii="Times New Roman" w:hAnsi="Times New Roman" w:cs="Times New Roman"/>
          <w:sz w:val="20"/>
          <w:szCs w:val="20"/>
          <w:lang w:val="x-none" w:eastAsia="x-none"/>
        </w:rPr>
      </w:pPr>
      <w:r w:rsidRPr="00F63BD6">
        <w:rPr>
          <w:rFonts w:ascii="Times New Roman" w:hAnsi="Times New Roman" w:cs="Times New Roman"/>
          <w:sz w:val="20"/>
          <w:szCs w:val="20"/>
          <w:rtl/>
          <w:lang w:val="x-none" w:eastAsia="x-none"/>
        </w:rPr>
        <w:t>1</w:t>
      </w:r>
      <w:r w:rsidRPr="00F63BD6">
        <w:rPr>
          <w:rFonts w:ascii="Times New Roman" w:hAnsi="Times New Roman" w:cs="Times New Roman"/>
          <w:sz w:val="20"/>
          <w:szCs w:val="20"/>
          <w:lang w:val="x-none" w:eastAsia="x-none"/>
        </w:rPr>
        <w:t xml:space="preserve">. </w:t>
      </w:r>
      <w:r w:rsidRPr="00F63BD6">
        <w:rPr>
          <w:rFonts w:ascii="Times New Roman" w:hAnsi="Times New Roman" w:cs="Times New Roman"/>
          <w:sz w:val="20"/>
          <w:szCs w:val="20"/>
          <w:rtl/>
          <w:lang w:val="x-none" w:eastAsia="x-none"/>
        </w:rPr>
        <w:t>يجوز للأطراف ال</w:t>
      </w:r>
      <w:r w:rsidRPr="00F63BD6">
        <w:rPr>
          <w:rFonts w:ascii="Times New Roman" w:hAnsi="Times New Roman" w:cs="Times New Roman" w:hint="cs"/>
          <w:sz w:val="20"/>
          <w:szCs w:val="20"/>
          <w:rtl/>
          <w:lang w:val="x-none" w:eastAsia="x-none"/>
        </w:rPr>
        <w:t xml:space="preserve">تظلم على </w:t>
      </w:r>
      <w:r w:rsidRPr="00F63BD6">
        <w:rPr>
          <w:rFonts w:ascii="Times New Roman" w:hAnsi="Times New Roman" w:cs="Times New Roman"/>
          <w:sz w:val="20"/>
          <w:szCs w:val="20"/>
          <w:rtl/>
          <w:lang w:val="x-none" w:eastAsia="x-none"/>
        </w:rPr>
        <w:t>القرار</w:t>
      </w:r>
      <w:r w:rsidRPr="00F63BD6">
        <w:rPr>
          <w:rFonts w:ascii="Times New Roman" w:hAnsi="Times New Roman" w:cs="Times New Roman" w:hint="cs"/>
          <w:sz w:val="20"/>
          <w:szCs w:val="20"/>
          <w:rtl/>
          <w:lang w:val="x-none" w:eastAsia="x-none"/>
        </w:rPr>
        <w:t xml:space="preserve"> </w:t>
      </w:r>
      <w:r w:rsidRPr="00F63BD6">
        <w:rPr>
          <w:rFonts w:ascii="Times New Roman" w:hAnsi="Times New Roman" w:cs="Times New Roman"/>
          <w:sz w:val="20"/>
          <w:szCs w:val="20"/>
          <w:rtl/>
          <w:lang w:val="x-none" w:eastAsia="x-none"/>
        </w:rPr>
        <w:t>/</w:t>
      </w:r>
      <w:r w:rsidRPr="00F63BD6">
        <w:rPr>
          <w:rFonts w:ascii="Times New Roman" w:hAnsi="Times New Roman" w:cs="Times New Roman" w:hint="cs"/>
          <w:sz w:val="20"/>
          <w:szCs w:val="20"/>
          <w:rtl/>
          <w:lang w:val="x-none" w:eastAsia="x-none"/>
        </w:rPr>
        <w:t xml:space="preserve"> </w:t>
      </w:r>
      <w:r w:rsidRPr="00F63BD6">
        <w:rPr>
          <w:rFonts w:ascii="Times New Roman" w:hAnsi="Times New Roman" w:cs="Times New Roman"/>
          <w:sz w:val="20"/>
          <w:szCs w:val="20"/>
          <w:rtl/>
          <w:lang w:val="x-none" w:eastAsia="x-none"/>
        </w:rPr>
        <w:t>الأمر</w:t>
      </w:r>
      <w:r w:rsidRPr="00F63BD6">
        <w:rPr>
          <w:rFonts w:ascii="Times New Roman" w:hAnsi="Times New Roman" w:cs="Times New Roman"/>
          <w:sz w:val="20"/>
          <w:szCs w:val="20"/>
          <w:lang w:val="x-none" w:eastAsia="x-none"/>
        </w:rPr>
        <w:t>.</w:t>
      </w:r>
    </w:p>
    <w:p w14:paraId="7F67A15C" w14:textId="77777777" w:rsidR="00951A80" w:rsidRPr="00F63BD6"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both"/>
        <w:rPr>
          <w:rFonts w:ascii="Times New Roman" w:hAnsi="Times New Roman" w:cs="Times New Roman"/>
          <w:sz w:val="20"/>
          <w:szCs w:val="20"/>
          <w:lang w:val="x-none" w:eastAsia="x-none"/>
        </w:rPr>
      </w:pPr>
      <w:r w:rsidRPr="00F63BD6">
        <w:rPr>
          <w:rFonts w:ascii="Times New Roman" w:hAnsi="Times New Roman" w:cs="Times New Roman"/>
          <w:sz w:val="20"/>
          <w:szCs w:val="20"/>
          <w:rtl/>
          <w:lang w:val="x-none" w:eastAsia="x-none"/>
        </w:rPr>
        <w:t>2</w:t>
      </w:r>
      <w:r w:rsidRPr="00F63BD6">
        <w:rPr>
          <w:rFonts w:ascii="Times New Roman" w:hAnsi="Times New Roman" w:cs="Times New Roman"/>
          <w:sz w:val="20"/>
          <w:szCs w:val="20"/>
          <w:lang w:val="x-none" w:eastAsia="x-none"/>
        </w:rPr>
        <w:t xml:space="preserve">. </w:t>
      </w:r>
      <w:r w:rsidRPr="00F63BD6">
        <w:rPr>
          <w:rFonts w:ascii="Times New Roman" w:hAnsi="Times New Roman" w:cs="Times New Roman"/>
          <w:sz w:val="20"/>
          <w:szCs w:val="20"/>
          <w:rtl/>
          <w:lang w:val="x-none" w:eastAsia="x-none"/>
        </w:rPr>
        <w:t>ي</w:t>
      </w:r>
      <w:r w:rsidRPr="00F63BD6">
        <w:rPr>
          <w:rFonts w:ascii="Times New Roman" w:hAnsi="Times New Roman" w:cs="Times New Roman" w:hint="cs"/>
          <w:sz w:val="20"/>
          <w:szCs w:val="20"/>
          <w:rtl/>
          <w:lang w:val="x-none" w:eastAsia="x-none"/>
        </w:rPr>
        <w:t>تم</w:t>
      </w:r>
      <w:r w:rsidRPr="00F63BD6">
        <w:rPr>
          <w:rFonts w:ascii="Times New Roman" w:hAnsi="Times New Roman" w:cs="Times New Roman"/>
          <w:sz w:val="20"/>
          <w:szCs w:val="20"/>
          <w:rtl/>
          <w:lang w:val="x-none" w:eastAsia="x-none"/>
        </w:rPr>
        <w:t xml:space="preserve"> تقديم التظلم كتابةً إلى المحكمة التي أصدرت الحكم الم</w:t>
      </w:r>
      <w:r w:rsidRPr="00F63BD6">
        <w:rPr>
          <w:rFonts w:ascii="Times New Roman" w:hAnsi="Times New Roman" w:cs="Times New Roman" w:hint="cs"/>
          <w:sz w:val="20"/>
          <w:szCs w:val="20"/>
          <w:rtl/>
          <w:lang w:val="x-none" w:eastAsia="x-none"/>
        </w:rPr>
        <w:t>تظلم عليه</w:t>
      </w:r>
      <w:r w:rsidRPr="00F63BD6">
        <w:rPr>
          <w:rFonts w:ascii="Times New Roman" w:hAnsi="Times New Roman" w:cs="Times New Roman"/>
          <w:sz w:val="20"/>
          <w:szCs w:val="20"/>
          <w:rtl/>
          <w:lang w:val="x-none" w:eastAsia="x-none"/>
        </w:rPr>
        <w:t xml:space="preserve"> (المادة </w:t>
      </w:r>
      <w:r w:rsidRPr="00F63BD6">
        <w:rPr>
          <w:rFonts w:ascii="Times New Roman" w:hAnsi="Times New Roman" w:cs="Times New Roman" w:hint="cs"/>
          <w:sz w:val="20"/>
          <w:szCs w:val="20"/>
          <w:rtl/>
          <w:lang w:val="x-none" w:eastAsia="x-none"/>
        </w:rPr>
        <w:t>4</w:t>
      </w:r>
      <w:r w:rsidRPr="00F63BD6">
        <w:rPr>
          <w:rFonts w:ascii="Times New Roman" w:hAnsi="Times New Roman" w:cs="Times New Roman"/>
          <w:sz w:val="20"/>
          <w:szCs w:val="20"/>
          <w:rtl/>
          <w:lang w:val="x-none" w:eastAsia="x-none"/>
        </w:rPr>
        <w:t>2</w:t>
      </w:r>
      <w:r w:rsidRPr="00F63BD6">
        <w:rPr>
          <w:rFonts w:ascii="Times New Roman" w:hAnsi="Times New Roman" w:cs="Times New Roman" w:hint="cs"/>
          <w:sz w:val="20"/>
          <w:szCs w:val="20"/>
          <w:rtl/>
          <w:lang w:val="x-none" w:eastAsia="x-none"/>
        </w:rPr>
        <w:t>8</w:t>
      </w:r>
      <w:r w:rsidRPr="00F63BD6">
        <w:rPr>
          <w:rFonts w:ascii="Times New Roman" w:hAnsi="Times New Roman" w:cs="Times New Roman"/>
          <w:sz w:val="20"/>
          <w:szCs w:val="20"/>
          <w:rtl/>
          <w:lang w:val="x-none" w:eastAsia="x-none"/>
        </w:rPr>
        <w:t xml:space="preserve"> الفقرة 1 من قانون الإجراءات الجنائية)</w:t>
      </w:r>
      <w:r w:rsidRPr="00F63BD6">
        <w:rPr>
          <w:rFonts w:ascii="Times New Roman" w:hAnsi="Times New Roman" w:cs="Times New Roman"/>
          <w:sz w:val="20"/>
          <w:szCs w:val="20"/>
          <w:lang w:val="x-none" w:eastAsia="x-none"/>
        </w:rPr>
        <w:t>.</w:t>
      </w:r>
    </w:p>
    <w:p w14:paraId="45A6388A" w14:textId="77777777" w:rsidR="00951A80" w:rsidRPr="00F63BD6"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both"/>
        <w:rPr>
          <w:rFonts w:ascii="Times New Roman" w:hAnsi="Times New Roman" w:cs="Times New Roman"/>
          <w:sz w:val="20"/>
          <w:szCs w:val="20"/>
          <w:lang w:val="x-none" w:eastAsia="x-none"/>
        </w:rPr>
      </w:pPr>
      <w:r w:rsidRPr="00F63BD6">
        <w:rPr>
          <w:rFonts w:ascii="Times New Roman" w:hAnsi="Times New Roman" w:cs="Times New Roman"/>
          <w:sz w:val="20"/>
          <w:szCs w:val="20"/>
          <w:rtl/>
          <w:lang w:val="x-none" w:eastAsia="x-none"/>
        </w:rPr>
        <w:t>3</w:t>
      </w:r>
      <w:r w:rsidRPr="00F63BD6">
        <w:rPr>
          <w:rFonts w:ascii="Times New Roman" w:hAnsi="Times New Roman" w:cs="Times New Roman"/>
          <w:sz w:val="20"/>
          <w:szCs w:val="20"/>
          <w:lang w:val="x-none" w:eastAsia="x-none"/>
        </w:rPr>
        <w:t xml:space="preserve">. </w:t>
      </w:r>
      <w:r w:rsidRPr="00F63BD6">
        <w:rPr>
          <w:rFonts w:ascii="Times New Roman" w:hAnsi="Times New Roman" w:cs="Times New Roman" w:hint="cs"/>
          <w:sz w:val="20"/>
          <w:szCs w:val="20"/>
          <w:rtl/>
          <w:lang w:val="x-none" w:eastAsia="x-none"/>
        </w:rPr>
        <w:t xml:space="preserve"> </w:t>
      </w:r>
      <w:r w:rsidRPr="00F63BD6">
        <w:rPr>
          <w:rFonts w:ascii="Times New Roman" w:hAnsi="Times New Roman" w:cs="Times New Roman"/>
          <w:sz w:val="20"/>
          <w:szCs w:val="20"/>
          <w:rtl/>
          <w:lang w:val="x-none" w:eastAsia="x-none"/>
        </w:rPr>
        <w:t>ي</w:t>
      </w:r>
      <w:r w:rsidRPr="00F63BD6">
        <w:rPr>
          <w:rFonts w:ascii="Times New Roman" w:hAnsi="Times New Roman" w:cs="Times New Roman" w:hint="cs"/>
          <w:sz w:val="20"/>
          <w:szCs w:val="20"/>
          <w:rtl/>
          <w:lang w:val="x-none" w:eastAsia="x-none"/>
        </w:rPr>
        <w:t xml:space="preserve">تم </w:t>
      </w:r>
      <w:r w:rsidRPr="00F63BD6">
        <w:rPr>
          <w:rFonts w:ascii="Times New Roman" w:hAnsi="Times New Roman" w:cs="Times New Roman"/>
          <w:sz w:val="20"/>
          <w:szCs w:val="20"/>
          <w:rtl/>
          <w:lang w:val="x-none" w:eastAsia="x-none"/>
        </w:rPr>
        <w:t>تقديم التظلم خلال مدة نهائية قدرها سبعة أيام من ت</w:t>
      </w:r>
      <w:r w:rsidRPr="00F63BD6">
        <w:rPr>
          <w:rFonts w:ascii="Times New Roman" w:hAnsi="Times New Roman" w:cs="Times New Roman" w:hint="cs"/>
          <w:sz w:val="20"/>
          <w:szCs w:val="20"/>
          <w:rtl/>
          <w:lang w:val="x-none" w:eastAsia="x-none"/>
        </w:rPr>
        <w:t>أ</w:t>
      </w:r>
      <w:r w:rsidRPr="00F63BD6">
        <w:rPr>
          <w:rFonts w:ascii="Times New Roman" w:hAnsi="Times New Roman" w:cs="Times New Roman"/>
          <w:sz w:val="20"/>
          <w:szCs w:val="20"/>
          <w:rtl/>
          <w:lang w:val="x-none" w:eastAsia="x-none"/>
        </w:rPr>
        <w:t>ريخ تبليغ القرار</w:t>
      </w:r>
      <w:r w:rsidRPr="00F63BD6">
        <w:rPr>
          <w:rFonts w:ascii="Times New Roman" w:hAnsi="Times New Roman" w:cs="Times New Roman" w:hint="cs"/>
          <w:sz w:val="20"/>
          <w:szCs w:val="20"/>
          <w:rtl/>
          <w:lang w:val="x-none" w:eastAsia="x-none"/>
        </w:rPr>
        <w:t xml:space="preserve"> </w:t>
      </w:r>
      <w:r w:rsidRPr="00F63BD6">
        <w:rPr>
          <w:rFonts w:ascii="Times New Roman" w:hAnsi="Times New Roman" w:cs="Times New Roman"/>
          <w:sz w:val="20"/>
          <w:szCs w:val="20"/>
          <w:rtl/>
          <w:lang w:val="x-none" w:eastAsia="x-none"/>
        </w:rPr>
        <w:t>/</w:t>
      </w:r>
      <w:r w:rsidRPr="00F63BD6">
        <w:rPr>
          <w:rFonts w:ascii="Times New Roman" w:hAnsi="Times New Roman" w:cs="Times New Roman" w:hint="cs"/>
          <w:sz w:val="20"/>
          <w:szCs w:val="20"/>
          <w:rtl/>
          <w:lang w:val="x-none" w:eastAsia="x-none"/>
        </w:rPr>
        <w:t xml:space="preserve"> </w:t>
      </w:r>
      <w:r w:rsidRPr="00F63BD6">
        <w:rPr>
          <w:rFonts w:ascii="Times New Roman" w:hAnsi="Times New Roman" w:cs="Times New Roman"/>
          <w:sz w:val="20"/>
          <w:szCs w:val="20"/>
          <w:rtl/>
          <w:lang w:val="x-none" w:eastAsia="x-none"/>
        </w:rPr>
        <w:t>الأمر (المادة 122 الفقرة 2 من قانون الإجراءات الجنائية، والمادة</w:t>
      </w:r>
      <w:r w:rsidRPr="00F63BD6">
        <w:rPr>
          <w:rFonts w:ascii="Times New Roman" w:hAnsi="Times New Roman" w:cs="Times New Roman" w:hint="cs"/>
          <w:sz w:val="20"/>
          <w:szCs w:val="20"/>
          <w:rtl/>
          <w:lang w:val="x-none" w:eastAsia="x-none"/>
        </w:rPr>
        <w:t xml:space="preserve"> 460</w:t>
      </w:r>
      <w:r w:rsidRPr="00F63BD6">
        <w:rPr>
          <w:rFonts w:ascii="Times New Roman" w:hAnsi="Times New Roman" w:cs="Times New Roman"/>
          <w:sz w:val="20"/>
          <w:szCs w:val="20"/>
          <w:rtl/>
          <w:lang w:val="x-none" w:eastAsia="x-none"/>
        </w:rPr>
        <w:t>، الجملة الأولى، والمادة</w:t>
      </w:r>
      <w:r w:rsidRPr="00F63BD6">
        <w:rPr>
          <w:rFonts w:ascii="Times New Roman" w:hAnsi="Times New Roman" w:cs="Times New Roman" w:hint="cs"/>
          <w:sz w:val="20"/>
          <w:szCs w:val="20"/>
          <w:rtl/>
          <w:lang w:val="x-none" w:eastAsia="x-none"/>
        </w:rPr>
        <w:t xml:space="preserve"> 466</w:t>
      </w:r>
      <w:r w:rsidRPr="00F63BD6">
        <w:rPr>
          <w:rFonts w:ascii="Times New Roman" w:hAnsi="Times New Roman" w:cs="Times New Roman"/>
          <w:sz w:val="20"/>
          <w:szCs w:val="20"/>
          <w:rtl/>
          <w:lang w:val="x-none" w:eastAsia="x-none"/>
        </w:rPr>
        <w:t xml:space="preserve"> الفقرة 1 من قانون الإجراءات الجنائية)</w:t>
      </w:r>
      <w:r w:rsidRPr="00F63BD6">
        <w:rPr>
          <w:rFonts w:ascii="Times New Roman" w:hAnsi="Times New Roman" w:cs="Times New Roman"/>
          <w:sz w:val="20"/>
          <w:szCs w:val="20"/>
          <w:lang w:val="x-none" w:eastAsia="x-none"/>
        </w:rPr>
        <w:t>.</w:t>
      </w:r>
    </w:p>
    <w:p w14:paraId="14D3D230" w14:textId="77777777" w:rsidR="00951A80" w:rsidRPr="00F63BD6"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both"/>
        <w:rPr>
          <w:rFonts w:ascii="Times New Roman" w:hAnsi="Times New Roman" w:cs="Times New Roman"/>
          <w:sz w:val="20"/>
          <w:szCs w:val="20"/>
          <w:rtl/>
          <w:lang w:val="x-none" w:eastAsia="x-none"/>
        </w:rPr>
      </w:pPr>
      <w:r w:rsidRPr="00F63BD6">
        <w:rPr>
          <w:rFonts w:ascii="Times New Roman" w:hAnsi="Times New Roman" w:cs="Times New Roman"/>
          <w:sz w:val="20"/>
          <w:szCs w:val="20"/>
          <w:rtl/>
          <w:lang w:val="x-none" w:eastAsia="x-none"/>
        </w:rPr>
        <w:t>لا يعتد بأي إجراء ي</w:t>
      </w:r>
      <w:r w:rsidRPr="00F63BD6">
        <w:rPr>
          <w:rFonts w:ascii="Times New Roman" w:hAnsi="Times New Roman" w:cs="Times New Roman" w:hint="cs"/>
          <w:sz w:val="20"/>
          <w:szCs w:val="20"/>
          <w:rtl/>
          <w:lang w:val="x-none" w:eastAsia="x-none"/>
        </w:rPr>
        <w:t>ُ</w:t>
      </w:r>
      <w:r w:rsidRPr="00F63BD6">
        <w:rPr>
          <w:rFonts w:ascii="Times New Roman" w:hAnsi="Times New Roman" w:cs="Times New Roman"/>
          <w:sz w:val="20"/>
          <w:szCs w:val="20"/>
          <w:rtl/>
          <w:lang w:val="x-none" w:eastAsia="x-none"/>
        </w:rPr>
        <w:t xml:space="preserve">نفذ بعد انقضاء المدة النهائية (المادة 122 الفقرة 1 من قانون الإجراءات الجنائية). ولا </w:t>
      </w:r>
      <w:r w:rsidRPr="00F63BD6">
        <w:rPr>
          <w:rFonts w:ascii="Times New Roman" w:hAnsi="Times New Roman" w:cs="Times New Roman" w:hint="cs"/>
          <w:sz w:val="20"/>
          <w:szCs w:val="20"/>
          <w:rtl/>
          <w:lang w:val="x-none" w:eastAsia="x-none"/>
        </w:rPr>
        <w:t>يدخل</w:t>
      </w:r>
      <w:r w:rsidRPr="00F63BD6">
        <w:rPr>
          <w:rFonts w:ascii="Times New Roman" w:hAnsi="Times New Roman" w:cs="Times New Roman"/>
          <w:sz w:val="20"/>
          <w:szCs w:val="20"/>
          <w:rtl/>
          <w:lang w:val="x-none" w:eastAsia="x-none"/>
        </w:rPr>
        <w:t xml:space="preserve"> اليوم الذي تُحسب منه المدة ضمن مدة سريانها. </w:t>
      </w:r>
      <w:r w:rsidRPr="00F63BD6">
        <w:rPr>
          <w:rFonts w:ascii="Times New Roman" w:hAnsi="Times New Roman" w:cs="Times New Roman" w:hint="cs"/>
          <w:sz w:val="20"/>
          <w:szCs w:val="20"/>
          <w:rtl/>
          <w:lang w:val="x-none" w:eastAsia="x-none"/>
        </w:rPr>
        <w:t>و</w:t>
      </w:r>
      <w:r w:rsidRPr="00F63BD6">
        <w:rPr>
          <w:rFonts w:ascii="Times New Roman" w:hAnsi="Times New Roman" w:cs="Times New Roman"/>
          <w:sz w:val="20"/>
          <w:szCs w:val="20"/>
          <w:rtl/>
          <w:lang w:val="x-none" w:eastAsia="x-none"/>
        </w:rPr>
        <w:t>إذا صادفت نهاية المدة يوم عطلة رسمية، فيجوز تنفيذ الإجراء في اليوم التالي (المادة 123 الفقرتان 1 و3 من قانون الإجراءات الجنائية). يُعتبر الموعد النهائي مُستوفى إذا تم، قبل انقضائه، إرسال ال</w:t>
      </w:r>
      <w:r w:rsidRPr="00F63BD6">
        <w:rPr>
          <w:rFonts w:ascii="Times New Roman" w:hAnsi="Times New Roman" w:cs="Times New Roman" w:hint="cs"/>
          <w:sz w:val="20"/>
          <w:szCs w:val="20"/>
          <w:rtl/>
          <w:lang w:val="x-none" w:eastAsia="x-none"/>
        </w:rPr>
        <w:t>وثيقة</w:t>
      </w:r>
      <w:r w:rsidRPr="00F63BD6">
        <w:rPr>
          <w:rFonts w:ascii="Times New Roman" w:hAnsi="Times New Roman" w:cs="Times New Roman"/>
          <w:sz w:val="20"/>
          <w:szCs w:val="20"/>
          <w:rtl/>
          <w:lang w:val="x-none" w:eastAsia="x-none"/>
        </w:rPr>
        <w:t xml:space="preserve"> بالبريد </w:t>
      </w:r>
      <w:r w:rsidRPr="00F63BD6">
        <w:rPr>
          <w:rFonts w:ascii="Times New Roman" w:hAnsi="Times New Roman" w:cs="Times New Roman" w:hint="cs"/>
          <w:sz w:val="20"/>
          <w:szCs w:val="20"/>
          <w:rtl/>
          <w:lang w:val="x-none" w:eastAsia="x-none"/>
        </w:rPr>
        <w:t>من</w:t>
      </w:r>
      <w:r w:rsidRPr="00F63BD6">
        <w:rPr>
          <w:rFonts w:ascii="Times New Roman" w:hAnsi="Times New Roman" w:cs="Times New Roman"/>
          <w:sz w:val="20"/>
          <w:szCs w:val="20"/>
          <w:rtl/>
          <w:lang w:val="x-none" w:eastAsia="x-none"/>
        </w:rPr>
        <w:t xml:space="preserve"> مكتب بريد تابع لجهة مسؤولة عن توصيل المراسلات داخل الاتحاد الأوروبي، أو </w:t>
      </w:r>
      <w:r w:rsidRPr="00F63BD6">
        <w:rPr>
          <w:rFonts w:ascii="Times New Roman" w:hAnsi="Times New Roman" w:cs="Times New Roman" w:hint="cs"/>
          <w:sz w:val="20"/>
          <w:szCs w:val="20"/>
          <w:rtl/>
          <w:lang w:val="x-none" w:eastAsia="x-none"/>
        </w:rPr>
        <w:t>من</w:t>
      </w:r>
      <w:r w:rsidRPr="00F63BD6">
        <w:rPr>
          <w:rFonts w:ascii="Times New Roman" w:hAnsi="Times New Roman" w:cs="Times New Roman"/>
          <w:sz w:val="20"/>
          <w:szCs w:val="20"/>
          <w:rtl/>
          <w:lang w:val="x-none" w:eastAsia="x-none"/>
        </w:rPr>
        <w:t xml:space="preserve"> قنصلية بولندية، أو تقديمها من قبل جندي إلى مقر وحدة عسكرية، أو من قبل شخص محروم من حريته إلى إدارة </w:t>
      </w:r>
      <w:r w:rsidRPr="00F63BD6">
        <w:rPr>
          <w:rFonts w:ascii="Times New Roman" w:hAnsi="Times New Roman" w:cs="Times New Roman" w:hint="cs"/>
          <w:sz w:val="20"/>
          <w:szCs w:val="20"/>
          <w:rtl/>
          <w:lang w:val="x-none" w:eastAsia="x-none"/>
        </w:rPr>
        <w:t>ال</w:t>
      </w:r>
      <w:r w:rsidRPr="00F63BD6">
        <w:rPr>
          <w:rFonts w:ascii="Times New Roman" w:hAnsi="Times New Roman" w:cs="Times New Roman"/>
          <w:sz w:val="20"/>
          <w:szCs w:val="20"/>
          <w:rtl/>
          <w:lang w:val="x-none" w:eastAsia="x-none"/>
        </w:rPr>
        <w:t>م</w:t>
      </w:r>
      <w:r w:rsidRPr="00F63BD6">
        <w:rPr>
          <w:rFonts w:ascii="Times New Roman" w:hAnsi="Times New Roman" w:cs="Times New Roman" w:hint="cs"/>
          <w:sz w:val="20"/>
          <w:szCs w:val="20"/>
          <w:rtl/>
          <w:lang w:val="x-none" w:eastAsia="x-none"/>
        </w:rPr>
        <w:t>ؤسسة العقابية المختصة</w:t>
      </w:r>
      <w:r w:rsidRPr="00F63BD6">
        <w:rPr>
          <w:rFonts w:ascii="Times New Roman" w:hAnsi="Times New Roman" w:cs="Times New Roman"/>
          <w:sz w:val="20"/>
          <w:szCs w:val="20"/>
          <w:rtl/>
          <w:lang w:val="x-none" w:eastAsia="x-none"/>
        </w:rPr>
        <w:t xml:space="preserve">، أو من قبل أحد أفراد طاقم سفينة بولندية إلى قبطان السفينة (المادة 124 من قانون الإجراءات الجنائية). </w:t>
      </w:r>
    </w:p>
    <w:p w14:paraId="1D333CED" w14:textId="77777777" w:rsidR="00951A80" w:rsidRPr="00F63BD6" w:rsidRDefault="00951A80" w:rsidP="00951A80">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bidi/>
        <w:spacing w:line="360" w:lineRule="atLeast"/>
        <w:ind w:right="1251"/>
        <w:jc w:val="both"/>
        <w:rPr>
          <w:sz w:val="20"/>
          <w:szCs w:val="20"/>
        </w:rPr>
      </w:pPr>
      <w:r w:rsidRPr="00F63BD6">
        <w:rPr>
          <w:rFonts w:ascii="Times New Roman" w:hAnsi="Times New Roman" w:cs="Times New Roman"/>
          <w:sz w:val="20"/>
          <w:szCs w:val="20"/>
          <w:rtl/>
          <w:lang w:val="x-none" w:eastAsia="x-none"/>
        </w:rPr>
        <w:t>إذا كان عدم الالتزام بالموعد النهائي ناتجًا عن أسباب خارجة عن إرادة الطرف المعني، فيجوز له، خلال سبعة أيام من ت</w:t>
      </w:r>
      <w:r w:rsidRPr="00F63BD6">
        <w:rPr>
          <w:rFonts w:ascii="Times New Roman" w:hAnsi="Times New Roman" w:cs="Times New Roman" w:hint="cs"/>
          <w:sz w:val="20"/>
          <w:szCs w:val="20"/>
          <w:rtl/>
          <w:lang w:val="x-none" w:eastAsia="x-none"/>
        </w:rPr>
        <w:t>أ</w:t>
      </w:r>
      <w:r w:rsidRPr="00F63BD6">
        <w:rPr>
          <w:rFonts w:ascii="Times New Roman" w:hAnsi="Times New Roman" w:cs="Times New Roman"/>
          <w:sz w:val="20"/>
          <w:szCs w:val="20"/>
          <w:rtl/>
          <w:lang w:val="x-none" w:eastAsia="x-none"/>
        </w:rPr>
        <w:t>ريخ زوال العائق، تقديم طلب لإعادة العمل بالموعد النهائي، مع استكمال الإجراء الذي كان من المقرر القيام به بحلول ذلك الموعد؛ وينطبق الأمر نفسه على الأشخاص غير الأطراف (المادة 126 الفقرة 1 من قانون الإجراءات الجنائية)</w:t>
      </w:r>
      <w:r w:rsidRPr="00F63BD6">
        <w:rPr>
          <w:rFonts w:ascii="Times New Roman" w:hAnsi="Times New Roman" w:cs="Times New Roman"/>
          <w:sz w:val="20"/>
          <w:szCs w:val="20"/>
          <w:lang w:val="x-none" w:eastAsia="x-none"/>
        </w:rPr>
        <w:t>.</w:t>
      </w:r>
      <w:r w:rsidRPr="00F63BD6">
        <w:rPr>
          <w:rFonts w:ascii="Times New Roman" w:hAnsi="Times New Roman" w:cs="Times New Roman"/>
          <w:color w:val="000000"/>
          <w:sz w:val="20"/>
          <w:szCs w:val="20"/>
          <w:lang w:val="x-none" w:eastAsia="x-none"/>
        </w:rPr>
        <w:fldChar w:fldCharType="begin"/>
      </w:r>
      <w:r w:rsidRPr="00F63BD6">
        <w:rPr>
          <w:rFonts w:ascii="Times New Roman" w:hAnsi="Times New Roman" w:cs="Times New Roman"/>
          <w:color w:val="000000"/>
          <w:sz w:val="20"/>
          <w:szCs w:val="20"/>
          <w:lang w:val="x-none" w:eastAsia="x-none"/>
        </w:rPr>
        <w:instrText xml:space="preserve"> {KONIEC} </w:instrText>
      </w:r>
      <w:r w:rsidRPr="00F63BD6">
        <w:rPr>
          <w:rFonts w:ascii="Times New Roman" w:hAnsi="Times New Roman" w:cs="Times New Roman"/>
          <w:color w:val="000000"/>
          <w:sz w:val="20"/>
          <w:szCs w:val="20"/>
          <w:lang w:val="x-none" w:eastAsia="x-none"/>
        </w:rPr>
        <w:fldChar w:fldCharType="separate"/>
      </w:r>
      <w:r w:rsidRPr="00F63BD6">
        <w:rPr>
          <w:rFonts w:ascii="Times New Roman" w:hAnsi="Times New Roman" w:cs="Times New Roman"/>
          <w:color w:val="000000"/>
          <w:sz w:val="20"/>
          <w:szCs w:val="20"/>
          <w:lang w:val="x-none" w:eastAsia="x-none"/>
        </w:rPr>
        <w:t xml:space="preserve"> </w:t>
      </w:r>
      <w:r w:rsidRPr="00F63BD6">
        <w:rPr>
          <w:rFonts w:ascii="Times New Roman" w:hAnsi="Times New Roman" w:cs="Times New Roman"/>
          <w:color w:val="000000"/>
          <w:sz w:val="20"/>
          <w:szCs w:val="20"/>
          <w:lang w:val="x-none" w:eastAsia="x-none"/>
        </w:rPr>
        <w:fldChar w:fldCharType="end"/>
      </w:r>
      <w:r w:rsidRPr="00F63BD6">
        <w:rPr>
          <w:rFonts w:ascii="Times New Roman" w:hAnsi="Times New Roman" w:cs="Times New Roman" w:hint="cs"/>
          <w:color w:val="000000"/>
          <w:sz w:val="20"/>
          <w:szCs w:val="20"/>
          <w:rtl/>
          <w:lang w:val="x-none" w:eastAsia="x-none"/>
        </w:rPr>
        <w:t xml:space="preserve"> </w:t>
      </w:r>
    </w:p>
    <w:p w14:paraId="37445810" w14:textId="77777777" w:rsidR="009A4D38" w:rsidRPr="00951A80" w:rsidRDefault="009A4D38" w:rsidP="00951A80">
      <w:pPr>
        <w:bidi/>
      </w:pPr>
    </w:p>
    <w:sectPr w:rsidR="009A4D38" w:rsidRPr="00951A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1802A" w14:textId="77777777" w:rsidR="003D5CE3" w:rsidRDefault="003D5CE3" w:rsidP="003D5CE3">
      <w:pPr>
        <w:spacing w:after="0" w:line="240" w:lineRule="auto"/>
      </w:pPr>
      <w:r>
        <w:separator/>
      </w:r>
    </w:p>
  </w:endnote>
  <w:endnote w:type="continuationSeparator" w:id="0">
    <w:p w14:paraId="6A9586DB" w14:textId="77777777" w:rsidR="003D5CE3" w:rsidRDefault="003D5CE3" w:rsidP="003D5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45393" w14:textId="77777777" w:rsidR="003D5CE3" w:rsidRDefault="003D5CE3" w:rsidP="003D5CE3">
      <w:pPr>
        <w:spacing w:after="0" w:line="240" w:lineRule="auto"/>
      </w:pPr>
      <w:r>
        <w:separator/>
      </w:r>
    </w:p>
  </w:footnote>
  <w:footnote w:type="continuationSeparator" w:id="0">
    <w:p w14:paraId="63C82747" w14:textId="77777777" w:rsidR="003D5CE3" w:rsidRDefault="003D5CE3" w:rsidP="003D5C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A4D38"/>
    <w:rsid w:val="000C68A4"/>
    <w:rsid w:val="003D5CE3"/>
    <w:rsid w:val="008605A2"/>
    <w:rsid w:val="00951A80"/>
    <w:rsid w:val="00982D45"/>
    <w:rsid w:val="009A4D38"/>
    <w:rsid w:val="00F30CAB"/>
    <w:rsid w:val="00F63B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B0D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A4D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A4D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A4D3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4D3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4D3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4D3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4D3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4D3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4D3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4D3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A4D3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A4D3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4D3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4D3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4D3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4D3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4D3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4D38"/>
    <w:rPr>
      <w:rFonts w:eastAsiaTheme="majorEastAsia" w:cstheme="majorBidi"/>
      <w:color w:val="272727" w:themeColor="text1" w:themeTint="D8"/>
    </w:rPr>
  </w:style>
  <w:style w:type="paragraph" w:styleId="Tytu">
    <w:name w:val="Title"/>
    <w:basedOn w:val="Normalny"/>
    <w:next w:val="Normalny"/>
    <w:link w:val="TytuZnak"/>
    <w:uiPriority w:val="10"/>
    <w:qFormat/>
    <w:rsid w:val="009A4D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4D3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4D3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4D3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4D38"/>
    <w:pPr>
      <w:spacing w:before="160"/>
      <w:jc w:val="center"/>
    </w:pPr>
    <w:rPr>
      <w:i/>
      <w:iCs/>
      <w:color w:val="404040" w:themeColor="text1" w:themeTint="BF"/>
    </w:rPr>
  </w:style>
  <w:style w:type="character" w:customStyle="1" w:styleId="CytatZnak">
    <w:name w:val="Cytat Znak"/>
    <w:basedOn w:val="Domylnaczcionkaakapitu"/>
    <w:link w:val="Cytat"/>
    <w:uiPriority w:val="29"/>
    <w:rsid w:val="009A4D38"/>
    <w:rPr>
      <w:i/>
      <w:iCs/>
      <w:color w:val="404040" w:themeColor="text1" w:themeTint="BF"/>
    </w:rPr>
  </w:style>
  <w:style w:type="paragraph" w:styleId="Akapitzlist">
    <w:name w:val="List Paragraph"/>
    <w:basedOn w:val="Normalny"/>
    <w:uiPriority w:val="34"/>
    <w:qFormat/>
    <w:rsid w:val="009A4D38"/>
    <w:pPr>
      <w:ind w:left="720"/>
      <w:contextualSpacing/>
    </w:pPr>
  </w:style>
  <w:style w:type="character" w:styleId="Wyrnienieintensywne">
    <w:name w:val="Intense Emphasis"/>
    <w:basedOn w:val="Domylnaczcionkaakapitu"/>
    <w:uiPriority w:val="21"/>
    <w:qFormat/>
    <w:rsid w:val="009A4D38"/>
    <w:rPr>
      <w:i/>
      <w:iCs/>
      <w:color w:val="0F4761" w:themeColor="accent1" w:themeShade="BF"/>
    </w:rPr>
  </w:style>
  <w:style w:type="paragraph" w:styleId="Cytatintensywny">
    <w:name w:val="Intense Quote"/>
    <w:basedOn w:val="Normalny"/>
    <w:next w:val="Normalny"/>
    <w:link w:val="CytatintensywnyZnak"/>
    <w:uiPriority w:val="30"/>
    <w:qFormat/>
    <w:rsid w:val="009A4D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4D38"/>
    <w:rPr>
      <w:i/>
      <w:iCs/>
      <w:color w:val="0F4761" w:themeColor="accent1" w:themeShade="BF"/>
    </w:rPr>
  </w:style>
  <w:style w:type="character" w:styleId="Odwoanieintensywne">
    <w:name w:val="Intense Reference"/>
    <w:basedOn w:val="Domylnaczcionkaakapitu"/>
    <w:uiPriority w:val="32"/>
    <w:qFormat/>
    <w:rsid w:val="009A4D38"/>
    <w:rPr>
      <w:b/>
      <w:bCs/>
      <w:smallCaps/>
      <w:color w:val="0F4761" w:themeColor="accent1" w:themeShade="BF"/>
      <w:spacing w:val="5"/>
    </w:rPr>
  </w:style>
  <w:style w:type="paragraph" w:customStyle="1" w:styleId="Normal">
    <w:name w:val="[Normal]"/>
    <w:rsid w:val="00951A80"/>
    <w:pPr>
      <w:widowControl w:val="0"/>
      <w:autoSpaceDE w:val="0"/>
      <w:autoSpaceDN w:val="0"/>
      <w:adjustRightInd w:val="0"/>
      <w:spacing w:after="0" w:line="240" w:lineRule="auto"/>
    </w:pPr>
    <w:rPr>
      <w:rFonts w:ascii="Arial" w:hAnsi="Arial" w:cs="Arial"/>
      <w:kern w:val="0"/>
      <w:lang w:eastAsia="pl-PL"/>
      <w14:ligatures w14:val="none"/>
    </w:rPr>
  </w:style>
  <w:style w:type="paragraph" w:styleId="Nagwek">
    <w:name w:val="header"/>
    <w:basedOn w:val="Normalny"/>
    <w:link w:val="NagwekZnak"/>
    <w:uiPriority w:val="99"/>
    <w:unhideWhenUsed/>
    <w:rsid w:val="003D5C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5CE3"/>
  </w:style>
  <w:style w:type="paragraph" w:styleId="Stopka">
    <w:name w:val="footer"/>
    <w:basedOn w:val="Normalny"/>
    <w:link w:val="StopkaZnak"/>
    <w:uiPriority w:val="99"/>
    <w:unhideWhenUsed/>
    <w:rsid w:val="003D5C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1158</Characters>
  <Application>Microsoft Office Word</Application>
  <DocSecurity>0</DocSecurity>
  <Lines>15</Lines>
  <Paragraphs>7</Paragraphs>
  <ScaleCrop>false</ScaleCrop>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2026-03-19T11:52:00Z</dcterms:created>
  <dcterms:modified xsi:type="dcterms:W3CDTF">2026-03-19T11:52:00Z</dcterms:modified>
</cp:coreProperties>
</file>